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2023-2024 учебного года</w:t>
      </w:r>
    </w:p>
    <w:p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Образовательная программа « </w:t>
      </w:r>
      <w:r>
        <w:rPr>
          <w:b/>
          <w:sz w:val="20"/>
          <w:szCs w:val="20"/>
          <w:lang w:val="ru-RU"/>
        </w:rPr>
        <w:t>Иностранная</w:t>
      </w:r>
      <w:r>
        <w:rPr>
          <w:rFonts w:hint="default"/>
          <w:b/>
          <w:sz w:val="20"/>
          <w:szCs w:val="20"/>
          <w:lang w:val="ru-RU"/>
        </w:rPr>
        <w:t xml:space="preserve"> филология</w:t>
      </w:r>
      <w:r>
        <w:rPr>
          <w:b/>
          <w:sz w:val="20"/>
          <w:szCs w:val="20"/>
        </w:rPr>
        <w:t xml:space="preserve"> »</w:t>
      </w:r>
    </w:p>
    <w:p>
      <w:pPr>
        <w:rPr>
          <w:bCs/>
          <w:color w:val="FF0000"/>
          <w:sz w:val="20"/>
          <w:szCs w:val="20"/>
          <w:lang w:val="en-US"/>
        </w:rPr>
      </w:pPr>
    </w:p>
    <w:tbl>
      <w:tblPr>
        <w:tblStyle w:val="9"/>
        <w:tblW w:w="15237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701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65" w:hRule="atLeast"/>
        </w:trPr>
        <w:tc>
          <w:tcPr>
            <w:tcW w:w="1701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(СРО)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Вносите СРС, СРМ, СРД </w:t>
            </w:r>
          </w:p>
          <w:p>
            <w:pPr>
              <w:rPr>
                <w:bCs/>
                <w:i/>
                <w:iCs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 зависимости от уровня обучения</w:t>
            </w:r>
          </w:p>
        </w:tc>
        <w:tc>
          <w:tcPr>
            <w:tcW w:w="2835" w:type="dxa"/>
            <w:gridSpan w:val="3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7015" w:type="dxa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(СРОП)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  <w:p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Cs/>
                <w:i/>
                <w:iCs/>
                <w:color w:val="FF0000"/>
                <w:sz w:val="16"/>
                <w:szCs w:val="16"/>
              </w:rPr>
              <w:t>Вносите СРСП, СРМП, СРДП в зависимости от уровня обучения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83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7015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</w:t>
            </w:r>
          </w:p>
        </w:tc>
        <w:tc>
          <w:tcPr>
            <w:tcW w:w="226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Style w:val="44"/>
                <w:rFonts w:hint="default"/>
                <w:color w:val="FF0000"/>
                <w:sz w:val="16"/>
                <w:szCs w:val="16"/>
                <w:shd w:val="clear" w:color="auto" w:fill="FFFFFF"/>
                <w:lang w:val="ru-RU"/>
              </w:rPr>
            </w:pPr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rStyle w:val="44"/>
                <w:rFonts w:hint="default"/>
                <w:color w:val="FF0000"/>
                <w:sz w:val="20"/>
                <w:szCs w:val="20"/>
                <w:shd w:val="clear" w:color="auto" w:fill="FFFFFF"/>
                <w:lang w:val="en-US"/>
              </w:rPr>
              <w:t>9</w:t>
            </w:r>
            <w:r>
              <w:rPr>
                <w:rStyle w:val="44"/>
                <w:color w:val="FF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13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9</w:t>
            </w:r>
          </w:p>
        </w:tc>
        <w:tc>
          <w:tcPr>
            <w:tcW w:w="701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rFonts w:hint="default"/>
                <w:color w:val="FF0000"/>
                <w:sz w:val="16"/>
                <w:szCs w:val="16"/>
                <w:lang w:val="en-US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25" w:hRule="atLeast"/>
        </w:trPr>
        <w:tc>
          <w:tcPr>
            <w:tcW w:w="1523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8432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</w:pPr>
            <w:r>
              <w:rPr>
                <w:rFonts w:hint="default"/>
                <w:bCs/>
                <w:i/>
                <w:iCs/>
                <w:sz w:val="20"/>
                <w:szCs w:val="20"/>
                <w:highlight w:val="yellow"/>
                <w:lang w:val="ru-RU"/>
              </w:rPr>
              <w:t>онлайн</w:t>
            </w:r>
          </w:p>
        </w:tc>
        <w:tc>
          <w:tcPr>
            <w:tcW w:w="12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Вузовский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компонент</w:t>
            </w:r>
          </w:p>
        </w:tc>
        <w:tc>
          <w:tcPr>
            <w:tcW w:w="1986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center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______</w:t>
            </w:r>
          </w:p>
        </w:tc>
        <w:tc>
          <w:tcPr>
            <w:tcW w:w="1843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семинары</w:t>
            </w:r>
          </w:p>
        </w:tc>
        <w:tc>
          <w:tcPr>
            <w:tcW w:w="8432" w:type="dxa"/>
            <w:gridSpan w:val="2"/>
            <w:vMerge w:val="restart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rFonts w:hint="default"/>
                <w:sz w:val="16"/>
                <w:szCs w:val="16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>Устная</w:t>
            </w:r>
            <w:r>
              <w:rPr>
                <w:rFonts w:hint="default"/>
                <w:sz w:val="18"/>
                <w:szCs w:val="18"/>
                <w:lang w:val="ru-RU"/>
              </w:rPr>
              <w:t xml:space="preserve"> онлайн                                                       </w:t>
            </w:r>
            <w:r>
              <w:rPr>
                <w:rFonts w:hint="default"/>
                <w:sz w:val="16"/>
                <w:szCs w:val="16"/>
                <w:lang w:val="ru-RU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14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Макатаева Шолпан Мукагалиевна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jc w:val="center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de-CH"/>
              </w:rPr>
              <w:t>E</w:t>
            </w:r>
            <w:r>
              <w:rPr>
                <w:sz w:val="20"/>
                <w:szCs w:val="20"/>
                <w:lang w:val="fr-FR"/>
              </w:rPr>
              <w:t>-</w:t>
            </w:r>
            <w:r>
              <w:rPr>
                <w:sz w:val="20"/>
                <w:szCs w:val="20"/>
                <w:lang w:val="de-CH"/>
              </w:rPr>
              <w:t>mail</w:t>
            </w:r>
            <w:r>
              <w:rPr>
                <w:sz w:val="20"/>
                <w:szCs w:val="20"/>
                <w:lang w:val="fr-FR"/>
              </w:rPr>
              <w:t>: sh.mak@mail.ru</w:t>
            </w:r>
            <w:r>
              <w:rPr>
                <w:rStyle w:val="10"/>
                <w:color w:val="auto"/>
                <w:sz w:val="20"/>
                <w:szCs w:val="20"/>
                <w:lang w:val="fr-FR"/>
              </w:rPr>
              <w:t xml:space="preserve"> </w:t>
            </w:r>
            <w:r>
              <w:rPr>
                <w:rStyle w:val="10"/>
                <w:color w:val="auto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13-23)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Айтжанова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Гульнар Досхожаевна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Style w:val="11"/>
                <w:b w:val="0"/>
                <w:sz w:val="20"/>
                <w:szCs w:val="20"/>
                <w:lang w:val="kk-KZ"/>
              </w:rPr>
              <w:t>3773330 (внут. 13-23</w:t>
            </w:r>
            <w:r>
              <w:rPr>
                <w:rStyle w:val="11"/>
                <w:rFonts w:hint="default"/>
                <w:b w:val="0"/>
                <w:sz w:val="20"/>
                <w:szCs w:val="20"/>
                <w:lang w:val="ru-RU"/>
              </w:rPr>
              <w:t>)</w:t>
            </w:r>
          </w:p>
        </w:tc>
        <w:tc>
          <w:tcPr>
            <w:tcW w:w="8432" w:type="dxa"/>
            <w:gridSpan w:val="2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109" w:hRule="atLeast"/>
        </w:trPr>
        <w:tc>
          <w:tcPr>
            <w:tcW w:w="15237" w:type="dxa"/>
            <w:gridSpan w:val="8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>
            <w:pPr>
              <w:rPr>
                <w:color w:val="FF0000"/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rStyle w:val="44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94" w:hRule="atLeast"/>
        </w:trPr>
        <w:tc>
          <w:tcPr>
            <w:tcW w:w="1701" w:type="dxa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Цель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22"/>
                <w:szCs w:val="22"/>
              </w:rPr>
              <w:t>дисциплины: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дальнейшее развитие иноязычной коммуникативной компетенции в , а именно: совокупности еѐ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составляющихречевая компетенция — развитие коммуникативных умений в четырѐх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основных видах речевой деятельности (говорении, аудировании, чтении, письме);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языковая компетенция — овладение новыми языковыми средствами (фонетическими,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орфографическими, лексическими, грамматическими) в соответствии с темами, сферами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ситуациями общения, отобранными для данного уровня обучения; освоение знаний о языковых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явлениях изучаемого языка, разных способах выражения мысли в родном и изучаемом языках;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речевая (дискурсивная) компетенция, т.е. умение понимать высказывание в значимых смысловых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блоках, планировать речевое поведение и передавать информацию в связных, логичных,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аргументированных высказываниях;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социокультурная/межкультурная компетенция — приобщение учащихся к культуре, традициям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реалиям стран изучаемого иностранного языка в рамках тем, сфер и ситуаций общения,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0"/>
                <w:szCs w:val="20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отвечающих опыту, интересам, психологическим особенностям учащихся уровня </w:t>
            </w:r>
          </w:p>
          <w:p>
            <w:pPr>
              <w:jc w:val="both"/>
              <w:rPr>
                <w:b/>
                <w:sz w:val="18"/>
                <w:szCs w:val="18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  <w:t xml:space="preserve"> сф </w:t>
            </w:r>
          </w:p>
        </w:tc>
        <w:tc>
          <w:tcPr>
            <w:tcW w:w="5104" w:type="dxa"/>
            <w:gridSpan w:val="5"/>
            <w:vMerge w:val="restart"/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осв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о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ить новые языковые средства в соответствии c темами, сферами и ситуациями общения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приобщать  умения представлять свою страну, еѐ культуру в условиях межкультурного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</w:p>
          <w:p>
            <w:pPr>
              <w:pStyle w:val="41"/>
              <w:numPr>
                <w:ilvl w:val="0"/>
                <w:numId w:val="0"/>
              </w:numPr>
              <w:rPr>
                <w:rFonts w:ascii="Times New Roman" w:hAnsi="Times New Roman" w:eastAsia="Times New Roman" w:cs="Times New Roman"/>
                <w:color w:val="FF0000"/>
                <w:sz w:val="22"/>
                <w:szCs w:val="22"/>
                <w:lang w:val="kk-KZ" w:eastAsia="en-US" w:bidi="ar-SA"/>
              </w:rPr>
            </w:pPr>
          </w:p>
        </w:tc>
        <w:tc>
          <w:tcPr>
            <w:tcW w:w="8432" w:type="dxa"/>
            <w:gridSpan w:val="2"/>
            <w:vMerge w:val="restart"/>
            <w:tcBorders>
              <w:bottom w:val="nil"/>
            </w:tcBorders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П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 ок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ончании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обучающийся должен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Знать/понимать: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основные значения изученных лексических единиц (слов, словосочетаний); основные способы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словбенности структуры простых и сложных предложений изучаемого иносообразования (аффиксация, словосложение, конверсия);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осотранного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интонацию различных коммуникативных типов предложений;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признаки изученных грамматических явлений</w:t>
            </w:r>
          </w:p>
          <w:p>
            <w:pPr>
              <w:pStyle w:val="41"/>
              <w:numPr>
                <w:ilvl w:val="0"/>
                <w:numId w:val="0"/>
              </w:numPr>
              <w:rPr>
                <w:color w:val="FF0000"/>
                <w:sz w:val="22"/>
                <w:szCs w:val="22"/>
                <w:lang w:val="kk-KZ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Уметь: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Говорение: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Symbol" w:hAnsi="Symbol" w:eastAsia="SimSun" w:cs="Symbol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ascii="Symbol" w:hAnsi="Symbol" w:eastAsia="SimSun" w:cs="Symbo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начинать, вести/поддерживать и заканчивать беседу в стандартных ситуациях общения,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соблюдая нормы речевого этикета, при необходимости переспрашивая, уточняя;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расспрашивать собеседника и отвечать на его вопросы, высказывая своѐ мнение, просьбу,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отвечать на предложение собеседника согласием/отказом, опираясь на изученную тематику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усвоенный лексико-грамматический материал;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рассказывать о себе, своей семье, друзьях, своих интересах и планах на будущее, сообщать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краткие сведения о своем городе/селе, о своей стране и стране изучаемого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делать краткие сообщения, описывать события/явления (в рамках пройденных тем),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1"/>
                <w:szCs w:val="21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передавать основное содержание, основную мысль прочитанного или услышанного, выражать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свое отношение к прочитанному/услышанному, давать краткую характеристику персонажей;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повествовать о событиях, явлениях, фактах;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участвовать в беседе, дискуссии, выражать своѐ отношение к обсуждаемой проблеме;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использовать перифраз, синонимичные средства в процессе устного 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Диалогическая речь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уметь вести диалоги этикетного характера, диалог-расспрос, диалог- побуждение к действию,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диалог-обмен мнениями и комбинированные диалоги. Объѐм диалога 7-9 реплик со стороны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каждого учащегося. Продолжительность диалога 2—3минуты . </w:t>
            </w:r>
          </w:p>
          <w:p>
            <w:pPr>
              <w:keepNext w:val="0"/>
              <w:keepLines w:val="0"/>
              <w:widowControl/>
              <w:suppressLineNumbers w:val="0"/>
              <w:ind w:firstLine="110" w:firstLineChars="5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Монологическая речь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Продуцировать связные высказывания с использованием основных коммуникативных типов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речи: описание, сообщение, рассказ (включающий эмоционально-оценочное суждение),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рассуждение (характеристика) с высказыванием своего мнения и краткой аргументацией с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опорой и без опоры на прочитанный или услышанный текст или заданную коммуникативную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ситуацию. Объѐм монологического высказывания до 12— 15 фраз. Продолжительность монолога </w:t>
            </w:r>
            <w:r>
              <w:rPr>
                <w:rFonts w:hint="default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 3 минуты                                                                           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Аудирование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кратких, несложных аутентичных прагматических текстов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(прогноз погоды, программы теле-/радиопередач, объявления на вокзале/в аэропорту) и выделять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для себя значимую информацию;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несложных аутентичных текстов, относящихся к разным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коммуникативным типам речи (сообщение/рассказ), уметь определить тему текста, выделить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главные факты в тексте, опуская второстепенные;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основное содержание аудио и видеотекстов теле- и радиопередач на актуальные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темы;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определять и устанавливать последовательность фактов;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устанавливать причинно-следственные связи;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использовать переспрос, просьбу повторить;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определять тему, выделять основную мысль, выделять главные факты, опуская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второстепенные, устанавливать логическую последовательность основных фактов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читать несложные аутентичные тексты разных жанров с полным и точным пониманием,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используя различные приемы смысловой переработки текста (языковую догадку, анализ,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выборочный перевод), оценивать полученную информацию, выражать свое мнение;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понимать причинно-следственные связи законченных отрывков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комментировать/объяснять те или иные факты, описанные в тексте;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делать заключения и выводы из прочитанного текста;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8"/>
                <w:szCs w:val="28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читать текст с выборочным пониманием нужной или интересующей информации.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с пониманием основного содержания текста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осуществляется на несложных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аутентичных материалах с ориентацией на выделенное предметное содержание, включающих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некоторое количество незнакомых слов. Объѐм текста для чтения — 700—800 слов.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i/>
                <w:i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Чтение с выборочным пониманием нужной или интересующей информации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предполагает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умение просмотреть текст или несколько коротких текстов и выбрать информацию, которая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необходима или представляет интерес для учащихся. Объѐм текста для чтения — около 400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слов</w:t>
            </w:r>
          </w:p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776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осваивать новые языковые средства в соответствии c темами, сферами и ситуациями общения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приобщать учащихся к культуре, традициям и реалиям стран изуча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е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мого иностранного языка;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формировать умения представлять свою страну, еѐ культуру в условиях межкультурного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потребность в изучении иностранных языков и в овладении ими как средством общения, познания, самореализации и социальной адаптации в поликультурном мире;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формировать у учащихся общекультурную и этническую идентичность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;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</w:p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84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-  знакомить с приемами  познания иноязычной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культур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ы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, в том числе с использованием новых информационных технологий;</w:t>
            </w:r>
          </w:p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  <w:tc>
          <w:tcPr>
            <w:tcW w:w="8432" w:type="dxa"/>
            <w:gridSpan w:val="2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Письменная речь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заполнять анкеты и формуляры;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писать поздравления с днѐм рождения и другими праздниками, выражать пожелания (объѐмом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40-50 слов, включая адрес);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писать личные письма с опорой на образец и без опоры: расспрашивать адресата о его жизни 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делах, сообщать то же о себе, выражать благодарность, просьбу, употребляя формулы речевого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этикета, принятые в странах изучаемого языка Объѐм личного письма около 110 слов, включая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адрес;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уметь рассказывать в личном письме об отдельных фактах/событиях своей жизни, выражая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свои чувства;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-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писать краткую инструкцию, объяснение, как пройти, проехать, как приготовить еду, включить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аппаратуру;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2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continue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restart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спользовать приобретенные знания и умения в практической деятельности 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 xml:space="preserve"> 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повседневной жизни для: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социальной адаптации; достижения взаимопонимания в процессе устного и письменного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общения с носителями иностранного языка, установления межличностных и межкультурных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контактов в доступных пределах;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создания целостной картины полиязычного, поликультурного мира, осознания места и роли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родного и изучаемого иностранного языка в этом мире;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ru-RU" w:eastAsia="zh-CN" w:bidi="ar"/>
              </w:rPr>
              <w:t>-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приобщения к ценностям мировой культуры как через иноязычные источники информац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ии</w:t>
            </w:r>
            <w:r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ru-RU" w:eastAsia="zh-CN" w:bidi="ar"/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rFonts w:hint="default"/>
                <w:color w:val="000000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312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vMerge w:val="restart"/>
            <w:shd w:val="clear" w:color="auto" w:fill="auto"/>
          </w:tcPr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  <w:r>
              <w:rPr>
                <w:rFonts w:hint="default"/>
                <w:sz w:val="22"/>
                <w:szCs w:val="22"/>
                <w:lang w:val="ru-RU"/>
              </w:rPr>
              <w:t xml:space="preserve">- </w:t>
            </w:r>
            <w:r>
              <w:rPr>
                <w:sz w:val="22"/>
                <w:szCs w:val="22"/>
                <w:lang w:val="ru-RU"/>
              </w:rPr>
              <w:t>и</w:t>
            </w:r>
            <w:r>
              <w:rPr>
                <w:sz w:val="22"/>
                <w:szCs w:val="22"/>
              </w:rPr>
              <w:t xml:space="preserve">меть  навыки письменной речи ,соответствующим уровням </w:t>
            </w:r>
            <w:r>
              <w:rPr>
                <w:sz w:val="22"/>
                <w:szCs w:val="22"/>
                <w:lang w:val="ru-RU"/>
              </w:rPr>
              <w:t>В</w:t>
            </w:r>
            <w:r>
              <w:rPr>
                <w:rFonts w:hint="default"/>
                <w:sz w:val="22"/>
                <w:szCs w:val="22"/>
                <w:lang w:val="ru-RU"/>
              </w:rPr>
              <w:t>1,В2</w:t>
            </w: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jc w:val="both"/>
              <w:rPr>
                <w:rFonts w:hint="default"/>
                <w:sz w:val="22"/>
                <w:szCs w:val="22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</w:tcPr>
          <w:p>
            <w:pPr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32" w:type="dxa"/>
            <w:gridSpan w:val="2"/>
            <w:vMerge w:val="continue"/>
            <w:shd w:val="clear" w:color="auto" w:fill="auto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13536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Основы базового иностранного языка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288" w:hRule="atLeast"/>
        </w:trPr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13536" w:type="dxa"/>
            <w:gridSpan w:val="7"/>
            <w:tcBorders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Экзамен,тестовые зад</w:t>
            </w:r>
            <w:r>
              <w:rPr>
                <w:sz w:val="20"/>
                <w:szCs w:val="20"/>
                <w:lang w:val="ru-RU"/>
              </w:rPr>
              <w:t>ания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</w:rPr>
              <w:t>междунар</w:t>
            </w:r>
            <w:r>
              <w:rPr>
                <w:sz w:val="20"/>
                <w:szCs w:val="20"/>
                <w:lang w:val="ru-RU"/>
              </w:rPr>
              <w:t>о</w:t>
            </w:r>
            <w:r>
              <w:rPr>
                <w:sz w:val="20"/>
                <w:szCs w:val="20"/>
              </w:rPr>
              <w:t xml:space="preserve">дного уровня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c>
          <w:tcPr>
            <w:tcW w:w="1701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13536" w:type="dxa"/>
            <w:gridSpan w:val="7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shd w:val="clear" w:color="auto" w:fill="auto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>
              <w:rPr>
                <w:color w:val="000000"/>
                <w:sz w:val="20"/>
                <w:szCs w:val="20"/>
              </w:rPr>
              <w:t>о</w:t>
            </w: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сновная, дополнительная.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Попова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.,</w:t>
            </w:r>
            <w:r>
              <w:rPr>
                <w:rFonts w:ascii="Times New Roman" w:hAnsi="Times New Roman"/>
                <w:sz w:val="20"/>
                <w:szCs w:val="20"/>
              </w:rPr>
              <w:t>Казакова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. Manuel de francais M.:20</w:t>
            </w:r>
            <w:r>
              <w:rPr>
                <w:rFonts w:hint="default" w:ascii="Times New Roman" w:hAnsi="Times New Roman"/>
                <w:sz w:val="20"/>
                <w:szCs w:val="20"/>
                <w:lang w:val="ru-RU"/>
              </w:rPr>
              <w:t>20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Auge H., P.Martin Tout va bien 2015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rFonts w:ascii="Times New Roman" w:hAnsi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/>
                <w:sz w:val="20"/>
                <w:szCs w:val="20"/>
                <w:lang w:val="fr-FR"/>
              </w:rPr>
              <w:t>Comprehension orale A-C.Motron</w:t>
            </w:r>
            <w:r>
              <w:rPr>
                <w:rFonts w:ascii="Times New Roman" w:hAnsi="Times New Roman"/>
                <w:spacing w:val="2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fr-FR"/>
              </w:rPr>
              <w:t>464 p.Cle international, 201</w:t>
            </w:r>
            <w:r>
              <w:rPr>
                <w:rFonts w:hint="default"/>
                <w:sz w:val="20"/>
                <w:szCs w:val="20"/>
                <w:lang w:val="ru-RU"/>
              </w:rPr>
              <w:t>5</w:t>
            </w:r>
          </w:p>
          <w:p>
            <w:pPr>
              <w:pStyle w:val="41"/>
              <w:widowControl w:val="0"/>
              <w:numPr>
                <w:ilvl w:val="0"/>
                <w:numId w:val="1"/>
              </w:numPr>
              <w:tabs>
                <w:tab w:val="left" w:pos="317"/>
                <w:tab w:val="left" w:pos="1093"/>
              </w:tabs>
              <w:autoSpaceDE w:val="0"/>
              <w:autoSpaceDN w:val="0"/>
              <w:spacing w:after="0" w:line="240" w:lineRule="auto"/>
              <w:ind w:left="240" w:leftChars="0" w:firstLine="0" w:firstLineChars="0"/>
              <w:contextualSpacing w:val="0"/>
              <w:rPr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Никольская И.Б.,Гольденберг Грамматика французского языка С-П 2</w:t>
            </w:r>
            <w:r>
              <w:rPr>
                <w:rFonts w:hint="default"/>
                <w:sz w:val="20"/>
                <w:szCs w:val="20"/>
                <w:lang w:val="ru-RU"/>
              </w:rPr>
              <w:t>016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Исследовательская инфраструктура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Филологический факультет , кабинет синхронного перевода №306</w:t>
            </w:r>
          </w:p>
          <w:p>
            <w:pP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Профессиональные научные базы данных </w:t>
            </w:r>
          </w:p>
          <w:p>
            <w:pP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Style w:val="10"/>
                <w:rFonts w:hint="default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Интернет-ре</w:t>
            </w:r>
            <w:r>
              <w:rPr>
                <w:b/>
                <w:bCs/>
                <w:color w:val="000000"/>
                <w:sz w:val="20"/>
                <w:szCs w:val="20"/>
                <w:lang w:val="ru-RU"/>
              </w:rPr>
              <w:t>сурсы</w:t>
            </w:r>
          </w:p>
          <w:p>
            <w:pPr>
              <w:widowControl w:val="0"/>
              <w:tabs>
                <w:tab w:val="left" w:pos="317"/>
                <w:tab w:val="left" w:pos="1093"/>
              </w:tabs>
              <w:autoSpaceDE w:val="0"/>
              <w:autoSpaceDN w:val="0"/>
              <w:spacing w:line="272" w:lineRule="exact"/>
              <w:ind w:left="1534" w:leftChars="14" w:hanging="1500" w:hangingChars="750"/>
              <w:rPr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>.https://Enseigner le francais avec TV 5Monde com.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2. </w:t>
            </w:r>
            <w:r>
              <w:rPr>
                <w:sz w:val="20"/>
                <w:szCs w:val="20"/>
                <w:lang w:val="fr-FR"/>
              </w:rPr>
              <w:t>https</w:t>
            </w:r>
            <w:r>
              <w:rPr>
                <w:sz w:val="20"/>
                <w:szCs w:val="20"/>
              </w:rPr>
              <w:t>://</w:t>
            </w:r>
            <w:r>
              <w:rPr>
                <w:sz w:val="20"/>
                <w:szCs w:val="20"/>
                <w:lang w:val="fr-FR"/>
              </w:rPr>
              <w:t>bonjourdefrance</w:t>
            </w:r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fr-FR"/>
              </w:rPr>
              <w:t>com</w:t>
            </w:r>
          </w:p>
          <w:p>
            <w:pP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Пр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ru-RU"/>
                <w14:textFill>
                  <w14:solidFill>
                    <w14:schemeClr w14:val="tx1"/>
                  </w14:solidFill>
                </w14:textFill>
              </w:rPr>
              <w:t>о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/>
                <w14:textFill>
                  <w14:solidFill>
                    <w14:schemeClr w14:val="tx1"/>
                  </w14:solidFill>
                </w14:textFill>
              </w:rPr>
              <w:t>граммное обеспечение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1.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</w:t>
            </w:r>
          </w:p>
        </w:tc>
      </w:tr>
    </w:tbl>
    <w:p>
      <w:pPr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rPr>
          <w:color w:val="000000"/>
          <w:sz w:val="20"/>
          <w:szCs w:val="20"/>
        </w:rPr>
      </w:pPr>
    </w:p>
    <w:tbl>
      <w:tblPr>
        <w:tblStyle w:val="9"/>
        <w:tblW w:w="19278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15" w:type="dxa"/>
          <w:bottom w:w="0" w:type="dxa"/>
          <w:right w:w="115" w:type="dxa"/>
        </w:tblCellMar>
      </w:tblPr>
      <w:tblGrid>
        <w:gridCol w:w="851"/>
        <w:gridCol w:w="851"/>
        <w:gridCol w:w="283"/>
        <w:gridCol w:w="1134"/>
        <w:gridCol w:w="1843"/>
        <w:gridCol w:w="3260"/>
        <w:gridCol w:w="5650"/>
        <w:gridCol w:w="54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trHeight w:val="5519" w:hRule="atLeast"/>
        </w:trPr>
        <w:tc>
          <w:tcPr>
            <w:tcW w:w="17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1217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r>
              <w:fldChar w:fldCharType="begin"/>
            </w:r>
            <w:r>
              <w:instrText xml:space="preserve"> HYPERLINK "https://univer.kaznu.kz/Content/instructions/%D0%90%D0%BA%D0%B0%D0%B4%D0%B5%D0%BC%D0%B8%D1%87%D0%B5%D1%81%D0%BA%D0%B0%D1%8F%20%D0%BF%D0%BE%D0%BB%D0%B8%D1%82%D0%B8%D0%BA%D0%B0.pdf"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Академической политикой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 xml:space="preserve"> и </w:t>
            </w:r>
            <w:r>
              <w:fldChar w:fldCharType="begin"/>
            </w:r>
            <w:r>
              <w:instrText xml:space="preserve"> HYPERLINK "https://univer.kaznu.kz/Content/instructions/%D0%9F%D0%BE%D0%BB%D0%B8%D1%82%D0%B8%D0%BA%D0%B0%20%D0%B0%D0%BA%D0%B0%D0%B4%D0%B5%D0%BC%D0%B8%D1%87%D0%B5%D1%81%D0%BA%D0%BE%D0%B9%20%D1%87%D0%B5%D1%81%D1%82%D0%BD%D0%BE%D1%81%D1%82%D0%B8.pdf"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Политикой академической честности КазНУ имени аль-Фараби.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силлабусе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10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10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r>
              <w:fldChar w:fldCharType="begin"/>
            </w:r>
            <w:r>
              <w:instrText xml:space="preserve"> HYPERLINK 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«Правила проведения итогового контроля»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sz w:val="20"/>
                <w:szCs w:val="20"/>
                <w:u w:val="single"/>
              </w:rPr>
              <w:t xml:space="preserve">, </w:t>
            </w:r>
            <w:r>
              <w:fldChar w:fldCharType="begin"/>
            </w:r>
            <w:r>
              <w:instrText xml:space="preserve"> HYPERLINK 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</w:instrText>
            </w:r>
            <w:r>
              <w:fldChar w:fldCharType="separate"/>
            </w:r>
            <w:r>
              <w:rPr>
                <w:rStyle w:val="10"/>
                <w:sz w:val="20"/>
                <w:szCs w:val="20"/>
                <w:u w:val="single"/>
              </w:rPr>
              <w:t>«Инструкции для проведения итогового контроля осеннего/весеннего семестра текущего учебного года»</w:t>
            </w:r>
            <w:r>
              <w:rPr>
                <w:rStyle w:val="10"/>
                <w:sz w:val="20"/>
                <w:szCs w:val="20"/>
                <w:u w:val="single"/>
              </w:rPr>
              <w:fldChar w:fldCharType="end"/>
            </w:r>
            <w:r>
              <w:rPr>
                <w:rStyle w:val="10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FF0000"/>
                <w:sz w:val="20"/>
                <w:szCs w:val="20"/>
                <w:u w:val="single"/>
              </w:rPr>
              <w:t>внесите контакты преподавателя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либо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iCs/>
                <w:sz w:val="20"/>
                <w:szCs w:val="20"/>
              </w:rPr>
              <w:t xml:space="preserve">посредством </w:t>
            </w:r>
            <w:r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r>
              <w:rPr>
                <w:iCs/>
                <w:sz w:val="20"/>
                <w:szCs w:val="20"/>
                <w:lang w:val="en-US"/>
              </w:rPr>
              <w:t>MS</w:t>
            </w:r>
            <w:r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  <w:lang w:val="en-US"/>
              </w:rPr>
              <w:t>Teams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  <w:u w:val="single"/>
              </w:rPr>
              <w:t>внесите постоянную ссылку на собрание.</w:t>
            </w:r>
          </w:p>
          <w:p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  <w:tc>
          <w:tcPr>
            <w:tcW w:w="5406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</w:tcPr>
          <w:p>
            <w:pPr>
              <w:jc w:val="both"/>
              <w:rPr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8" w:hRule="atLeast"/>
        </w:trPr>
        <w:tc>
          <w:tcPr>
            <w:tcW w:w="1387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BE5F1" w:themeFill="accent1" w:themeFillTint="33"/>
          </w:tcPr>
          <w:p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68" w:hRule="atLeast"/>
        </w:trPr>
        <w:tc>
          <w:tcPr>
            <w:tcW w:w="4962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Балльно-рейтинговая </w:t>
            </w:r>
          </w:p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891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46" w:hRule="atLeast"/>
        </w:trPr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89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формативном и суммативном оценивании.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Формативное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Суммативное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 xml:space="preserve">Проводится 3-4 раза за семестр при выполнении </w:t>
            </w:r>
            <w:r>
              <w:rPr>
                <w:bCs/>
                <w:sz w:val="16"/>
                <w:szCs w:val="16"/>
                <w:lang w:val="ru-RU"/>
              </w:rPr>
              <w:t>СР</w:t>
            </w:r>
            <w:r>
              <w:rPr>
                <w:bCs/>
                <w:color w:val="FF0000"/>
                <w:sz w:val="16"/>
                <w:szCs w:val="16"/>
              </w:rPr>
              <w:t>.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59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973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89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1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Формативное и суммативное оценивание</w:t>
            </w:r>
          </w:p>
          <w:p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Баллы % содержание</w:t>
            </w:r>
          </w:p>
          <w:p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Преподаватель вносит свою разбалловку в пункты в соответствии с календарем (графиком). </w:t>
            </w:r>
          </w:p>
          <w:p>
            <w:pPr>
              <w:rPr>
                <w:color w:val="FF0000"/>
                <w:sz w:val="16"/>
                <w:szCs w:val="16"/>
                <w:u w:val="single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 xml:space="preserve">Не изменяются экзамен </w:t>
            </w:r>
          </w:p>
          <w:p>
            <w:pPr>
              <w:rPr>
                <w:b/>
                <w:bCs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u w:val="single"/>
              </w:rPr>
              <w:t>и итоговый балл по дисциплине.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35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5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181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</w:rPr>
              <w:t>2</w:t>
            </w:r>
            <w:r>
              <w:rPr>
                <w:color w:val="FF0000"/>
                <w:sz w:val="16"/>
                <w:szCs w:val="16"/>
                <w:lang w:val="kk-KZ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87" w:hRule="atLeast"/>
        </w:trPr>
        <w:tc>
          <w:tcPr>
            <w:tcW w:w="851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5650" w:type="dxa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jc w:val="both"/>
              <w:rPr>
                <w:color w:val="FF0000"/>
                <w:sz w:val="16"/>
                <w:szCs w:val="16"/>
                <w:lang w:val="kk-KZ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250" w:hRule="atLeast"/>
        </w:trPr>
        <w:tc>
          <w:tcPr>
            <w:tcW w:w="85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5650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</w:tcPr>
          <w:p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15" w:type="dxa"/>
            <w:bottom w:w="0" w:type="dxa"/>
            <w:right w:w="115" w:type="dxa"/>
          </w:tblCellMar>
        </w:tblPrEx>
        <w:trPr>
          <w:gridAfter w:val="1"/>
          <w:wAfter w:w="5406" w:type="dxa"/>
          <w:trHeight w:val="3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5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</w:tbl>
    <w:p>
      <w:pPr>
        <w:jc w:val="both"/>
        <w:rPr>
          <w:sz w:val="28"/>
          <w:szCs w:val="28"/>
        </w:rPr>
      </w:pPr>
      <w:r>
        <w:t xml:space="preserve">         </w:t>
      </w:r>
      <w:r>
        <w:rPr>
          <w:rFonts w:hint="default"/>
          <w:b/>
          <w:lang w:val="ru-RU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Календарь (график) реализации содержания дисциплины. Методы преподавания и обучения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b/>
        </w:rPr>
      </w:pP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2041"/>
        <w:gridCol w:w="3939"/>
        <w:gridCol w:w="6"/>
        <w:gridCol w:w="14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123" w:type="dxa"/>
          </w:tcPr>
          <w:p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Неделя</w:t>
            </w:r>
          </w:p>
        </w:tc>
        <w:tc>
          <w:tcPr>
            <w:tcW w:w="6000" w:type="dxa"/>
            <w:gridSpan w:val="4"/>
          </w:tcPr>
          <w:p>
            <w:pPr>
              <w:ind w:left="2881" w:hanging="2881" w:hangingChars="1200"/>
              <w:rPr>
                <w:rFonts w:hint="default"/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             </w:t>
            </w:r>
            <w:r>
              <w:rPr>
                <w:rFonts w:hint="default"/>
                <w:b/>
                <w:bCs/>
                <w:lang w:val="ru-RU"/>
              </w:rPr>
              <w:t xml:space="preserve">        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  <w:r>
              <w:rPr>
                <w:rFonts w:hint="default"/>
                <w:b/>
                <w:bCs/>
                <w:lang w:val="ru-RU"/>
              </w:rPr>
              <w:t xml:space="preserve"> Модуль 1</w:t>
            </w:r>
            <w:r>
              <w:rPr>
                <w:rFonts w:hint="default"/>
                <w:b/>
                <w:bCs/>
                <w:lang w:val="en-US"/>
              </w:rPr>
              <w:t xml:space="preserve"> </w:t>
            </w:r>
          </w:p>
        </w:tc>
        <w:tc>
          <w:tcPr>
            <w:tcW w:w="198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</w:t>
            </w:r>
          </w:p>
        </w:tc>
        <w:tc>
          <w:tcPr>
            <w:tcW w:w="390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</w:t>
            </w:r>
            <w:r>
              <w:rPr>
                <w:b/>
                <w:bCs/>
                <w:lang w:val="fr-FR"/>
              </w:rPr>
              <w:t xml:space="preserve"> </w:t>
            </w:r>
            <w:r>
              <w:rPr>
                <w:b/>
                <w:bCs/>
              </w:rPr>
              <w:t>балл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rFonts w:hint="default"/>
                <w:i/>
                <w:sz w:val="24"/>
                <w:lang w:val="ru-RU"/>
              </w:rPr>
            </w:pPr>
            <w:r>
              <w:rPr>
                <w:i/>
                <w:sz w:val="24"/>
                <w:lang w:val="fr-FR"/>
              </w:rPr>
              <w:t xml:space="preserve">Un après – midi à problemes. </w:t>
            </w:r>
            <w:r>
              <w:rPr>
                <w:i/>
                <w:sz w:val="24"/>
                <w:lang w:val="en-US"/>
              </w:rPr>
              <w:t>P. 98.</w:t>
            </w:r>
            <w:r>
              <w:rPr>
                <w:rFonts w:hint="default"/>
                <w:i/>
                <w:sz w:val="24"/>
                <w:lang w:val="ru-RU"/>
              </w:rPr>
              <w:t>/</w:t>
            </w:r>
          </w:p>
          <w:p>
            <w:pPr>
              <w:pStyle w:val="14"/>
              <w:widowControl/>
              <w:autoSpaceDE/>
              <w:autoSpaceDN/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1123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</w:tc>
        <w:tc>
          <w:tcPr>
            <w:tcW w:w="6000" w:type="dxa"/>
            <w:gridSpan w:val="4"/>
            <w:tcBorders>
              <w:bottom w:val="single" w:color="auto" w:sz="4" w:space="0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i/>
                <w:sz w:val="24"/>
                <w:lang w:val="fr-FR"/>
              </w:rPr>
              <w:t>T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</w:t>
            </w:r>
            <w:r>
              <w:rPr>
                <w:i/>
                <w:sz w:val="24"/>
                <w:lang w:val="fr-FR"/>
              </w:rPr>
              <w:t xml:space="preserve">out est bien qui finit bien. </w:t>
            </w:r>
            <w:r>
              <w:rPr>
                <w:i/>
                <w:sz w:val="24"/>
                <w:lang w:val="en-US"/>
              </w:rPr>
              <w:t>P. 106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СРОП1.Консультация по 1</w:t>
            </w:r>
          </w:p>
        </w:tc>
        <w:tc>
          <w:tcPr>
            <w:tcW w:w="1981" w:type="dxa"/>
            <w:tcBorders>
              <w:bottom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bottom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4" w:hRule="atLeast"/>
        </w:trPr>
        <w:tc>
          <w:tcPr>
            <w:tcW w:w="1123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  <w:tcBorders>
              <w:top w:val="single" w:color="auto" w:sz="4" w:space="0"/>
            </w:tcBorders>
          </w:tcPr>
          <w:p>
            <w:pPr>
              <w:pStyle w:val="14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en-US"/>
              </w:rPr>
              <w:t>Aux armes citoyens! P.118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  <w:tcBorders>
              <w:top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2" w:hRule="atLeast"/>
        </w:trPr>
        <w:tc>
          <w:tcPr>
            <w:tcW w:w="1123" w:type="dxa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4</w:t>
            </w:r>
          </w:p>
          <w:p>
            <w:pPr>
              <w:pStyle w:val="14"/>
              <w:ind w:left="-10"/>
              <w:rPr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  <w:p>
            <w:pPr>
              <w:pStyle w:val="14"/>
              <w:ind w:left="-10"/>
              <w:rPr>
                <w:i/>
                <w:sz w:val="20"/>
                <w:szCs w:val="20"/>
                <w:lang w:val="fr-FR"/>
              </w:rPr>
            </w:pPr>
          </w:p>
        </w:tc>
        <w:tc>
          <w:tcPr>
            <w:tcW w:w="2041" w:type="dxa"/>
            <w:tcBorders>
              <w:right w:val="nil"/>
            </w:tcBorders>
          </w:tcPr>
          <w:p>
            <w:pPr>
              <w:pStyle w:val="14"/>
              <w:ind w:left="-10"/>
              <w:rPr>
                <w:i/>
                <w:sz w:val="24"/>
                <w:lang w:val="en-US"/>
              </w:rPr>
            </w:pPr>
            <w:r>
              <w:rPr>
                <w:sz w:val="20"/>
                <w:szCs w:val="20"/>
                <w:lang w:val="fr-FR"/>
              </w:rPr>
              <w:t xml:space="preserve"> </w:t>
            </w:r>
            <w:r>
              <w:rPr>
                <w:i/>
                <w:sz w:val="24"/>
                <w:lang w:val="fr-FR"/>
              </w:rPr>
              <w:t xml:space="preserve">Qui ne risqué rien n` a rien. </w:t>
            </w:r>
            <w:r>
              <w:rPr>
                <w:i/>
                <w:sz w:val="24"/>
                <w:lang w:val="en-US"/>
              </w:rPr>
              <w:t>P. 126.</w:t>
            </w:r>
          </w:p>
          <w:p>
            <w:pPr>
              <w:jc w:val="both"/>
              <w:rPr>
                <w:i/>
                <w:sz w:val="20"/>
                <w:szCs w:val="20"/>
                <w:lang w:val="fr-FR"/>
              </w:rPr>
            </w:pPr>
            <w:r>
              <w:rPr>
                <w:i/>
                <w:sz w:val="24"/>
                <w:lang w:val="en-US"/>
              </w:rPr>
              <w:t>Les saisons</w:t>
            </w:r>
          </w:p>
        </w:tc>
        <w:tc>
          <w:tcPr>
            <w:tcW w:w="3959" w:type="dxa"/>
            <w:gridSpan w:val="3"/>
            <w:tcBorders>
              <w:lef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6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 xml:space="preserve">La fortune sourit aux audacieux. </w:t>
            </w:r>
            <w:r>
              <w:rPr>
                <w:i/>
                <w:sz w:val="24"/>
                <w:lang w:val="fr-FR"/>
              </w:rPr>
              <w:br w:type="textWrapping"/>
            </w:r>
            <w:r>
              <w:rPr>
                <w:i/>
                <w:sz w:val="24"/>
                <w:lang w:val="en-US"/>
              </w:rPr>
              <w:t>P. 134.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6000" w:type="dxa"/>
            <w:gridSpan w:val="4"/>
          </w:tcPr>
          <w:p>
            <w:pPr>
              <w:pStyle w:val="14"/>
              <w:ind w:left="1690" w:leftChars="-4" w:hanging="1700" w:hangingChars="850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 xml:space="preserve">                                 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>Модуль 2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9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6000" w:type="dxa"/>
            <w:gridSpan w:val="4"/>
          </w:tcPr>
          <w:p>
            <w:pPr>
              <w:pStyle w:val="14"/>
              <w:ind w:left="-10"/>
              <w:rPr>
                <w:rFonts w:hint="default"/>
                <w:sz w:val="20"/>
                <w:szCs w:val="20"/>
                <w:lang w:val="ru-RU"/>
              </w:rPr>
            </w:pP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i/>
                <w:sz w:val="24"/>
                <w:lang w:val="fr-FR"/>
              </w:rPr>
              <w:t xml:space="preserve">La publicité et nos rêves. </w:t>
            </w:r>
            <w:r>
              <w:rPr>
                <w:i/>
                <w:sz w:val="24"/>
                <w:lang w:val="en-US"/>
              </w:rPr>
              <w:t>P. 14</w:t>
            </w:r>
            <w:r>
              <w:rPr>
                <w:rFonts w:hint="default"/>
                <w:i/>
                <w:sz w:val="24"/>
                <w:lang w:val="ru-RU"/>
              </w:rPr>
              <w:t>4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СРОП2.Консультация по СРО2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986" w:type="dxa"/>
            <w:gridSpan w:val="3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 xml:space="preserve">La France et le monde. </w:t>
            </w:r>
            <w:r>
              <w:rPr>
                <w:i/>
                <w:sz w:val="24"/>
                <w:lang w:val="en-US"/>
              </w:rPr>
              <w:t>P. 154.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995" w:type="dxa"/>
            <w:gridSpan w:val="2"/>
          </w:tcPr>
          <w:p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7103" w:type="dxa"/>
            <w:gridSpan w:val="3"/>
            <w:tcBorders>
              <w:bottom w:val="nil"/>
            </w:tcBorders>
          </w:tcPr>
          <w:p>
            <w:pPr>
              <w:jc w:val="both"/>
              <w:rPr>
                <w:b/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      </w:t>
            </w:r>
            <w:r>
              <w:rPr>
                <w:b/>
                <w:bCs/>
                <w:sz w:val="20"/>
                <w:szCs w:val="20"/>
                <w:lang w:val="ru-RU"/>
              </w:rPr>
              <w:t>СРО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2</w:t>
            </w:r>
            <w:r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ru-RU"/>
              </w:rPr>
              <w:t>РК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1</w:t>
            </w:r>
            <w:r>
              <w:rPr>
                <w:sz w:val="20"/>
                <w:szCs w:val="20"/>
                <w:lang w:val="fr-FR"/>
              </w:rPr>
              <w:t xml:space="preserve"> Travail de controle ( lexico-grammatical)</w:t>
            </w:r>
          </w:p>
        </w:tc>
        <w:tc>
          <w:tcPr>
            <w:tcW w:w="2001" w:type="dxa"/>
            <w:gridSpan w:val="3"/>
            <w:tcBorders>
              <w:bottom w:val="nil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  <w:tcBorders>
              <w:bottom w:val="nil"/>
            </w:tcBorders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</w:tr>
    </w:tbl>
    <w:p>
      <w:pPr>
        <w:pStyle w:val="20"/>
        <w:spacing w:before="0" w:beforeAutospacing="0" w:after="0" w:afterAutospacing="0"/>
        <w:jc w:val="center"/>
        <w:textAlignment w:val="baseline"/>
        <w:rPr>
          <w:rStyle w:val="44"/>
          <w:b/>
          <w:bCs/>
          <w:sz w:val="20"/>
          <w:szCs w:val="20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Y="1"/>
        <w:tblOverlap w:val="never"/>
        <w:tblW w:w="13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"/>
        <w:gridCol w:w="6000"/>
        <w:gridCol w:w="1981"/>
        <w:gridCol w:w="3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000" w:type="dxa"/>
          </w:tcPr>
          <w:p>
            <w:pPr>
              <w:pStyle w:val="14"/>
              <w:ind w:left="-1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СРОП3.Консультация по СРО2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123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000" w:type="dxa"/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i/>
                <w:sz w:val="24"/>
                <w:lang w:val="en-US"/>
              </w:rPr>
              <w:t>Campagne publicitaire</w:t>
            </w:r>
            <w:r>
              <w:rPr>
                <w:rFonts w:hint="default"/>
                <w:b w:val="0"/>
                <w:bCs w:val="0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 xml:space="preserve"> СРО2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05" w:type="dxa"/>
          </w:tcPr>
          <w:p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7123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10</w:t>
            </w:r>
          </w:p>
          <w:p>
            <w:pPr>
              <w:pStyle w:val="14"/>
              <w:ind w:left="-1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fr-FR"/>
              </w:rPr>
              <w:t xml:space="preserve">                   </w:t>
            </w:r>
            <w:r>
              <w:rPr>
                <w:i/>
                <w:sz w:val="24"/>
                <w:lang w:val="en-US"/>
              </w:rPr>
              <w:t>La France</w:t>
            </w:r>
            <w:r>
              <w:rPr>
                <w:rFonts w:hint="default"/>
                <w:i/>
                <w:sz w:val="24"/>
                <w:lang w:val="ru-RU"/>
              </w:rPr>
              <w:t xml:space="preserve"> </w:t>
            </w:r>
            <w:bookmarkStart w:id="0" w:name="_GoBack"/>
            <w:bookmarkEnd w:id="0"/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СРОП4.Консультация по СРО3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  <w:tc>
          <w:tcPr>
            <w:tcW w:w="3905" w:type="dxa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spacing w:after="160" w:line="259" w:lineRule="auto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2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</w:tc>
      </w:tr>
    </w:tbl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p>
      <w:pPr>
        <w:rPr>
          <w:sz w:val="20"/>
          <w:szCs w:val="20"/>
          <w:lang w:val="kk-KZ"/>
        </w:rPr>
      </w:pPr>
    </w:p>
    <w:tbl>
      <w:tblPr>
        <w:tblStyle w:val="19"/>
        <w:tblpPr w:leftFromText="180" w:rightFromText="180" w:vertAnchor="text" w:tblpX="13037" w:tblpY="63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522" w:type="dxa"/>
            <w:tcBorders>
              <w:top w:val="nil"/>
              <w:left w:val="nil"/>
            </w:tcBorders>
          </w:tcPr>
          <w:p>
            <w:pPr>
              <w:rPr>
                <w:sz w:val="20"/>
                <w:szCs w:val="20"/>
                <w:vertAlign w:val="baseline"/>
                <w:lang w:val="kk-KZ"/>
              </w:rPr>
            </w:pPr>
          </w:p>
        </w:tc>
      </w:tr>
    </w:tbl>
    <w:p>
      <w:pPr>
        <w:rPr>
          <w:sz w:val="20"/>
          <w:szCs w:val="20"/>
          <w:lang w:val="kk-KZ"/>
        </w:rPr>
      </w:pPr>
    </w:p>
    <w:tbl>
      <w:tblPr>
        <w:tblStyle w:val="9"/>
        <w:tblpPr w:leftFromText="180" w:rightFromText="180" w:vertAnchor="text" w:tblpX="1" w:tblpY="1"/>
        <w:tblOverlap w:val="never"/>
        <w:tblW w:w="151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1"/>
        <w:gridCol w:w="5962"/>
        <w:gridCol w:w="1981"/>
        <w:gridCol w:w="3937"/>
        <w:gridCol w:w="2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161" w:type="dxa"/>
            <w:tcBorders>
              <w:top w:val="single" w:color="auto" w:sz="4" w:space="0"/>
            </w:tcBorders>
          </w:tcPr>
          <w:p>
            <w:pPr>
              <w:jc w:val="both"/>
              <w:rPr>
                <w:rFonts w:hint="default"/>
                <w:sz w:val="20"/>
                <w:szCs w:val="20"/>
                <w:lang w:val="ru-RU"/>
              </w:rPr>
            </w:pPr>
          </w:p>
        </w:tc>
        <w:tc>
          <w:tcPr>
            <w:tcW w:w="5962" w:type="dxa"/>
            <w:tcBorders>
              <w:top w:val="single" w:color="auto" w:sz="4" w:space="0"/>
            </w:tcBorders>
          </w:tcPr>
          <w:p>
            <w:pPr>
              <w:jc w:val="both"/>
              <w:rPr>
                <w:b/>
                <w:bCs/>
                <w:sz w:val="24"/>
                <w:szCs w:val="24"/>
                <w:lang w:val="fr-FR"/>
              </w:rPr>
            </w:pPr>
          </w:p>
          <w:p>
            <w:pPr>
              <w:ind w:firstLine="840" w:firstLineChars="350"/>
              <w:jc w:val="both"/>
              <w:rPr>
                <w:rFonts w:hint="default"/>
                <w:b/>
                <w:bCs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Модуль</w:t>
            </w:r>
            <w:r>
              <w:rPr>
                <w:rFonts w:hint="default"/>
                <w:b/>
                <w:bCs/>
                <w:sz w:val="24"/>
                <w:szCs w:val="24"/>
                <w:lang w:val="ru-RU"/>
              </w:rPr>
              <w:t xml:space="preserve"> 3</w:t>
            </w:r>
          </w:p>
        </w:tc>
        <w:tc>
          <w:tcPr>
            <w:tcW w:w="1981" w:type="dxa"/>
            <w:tcBorders>
              <w:top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top w:val="single" w:color="auto" w:sz="4" w:space="0"/>
              <w:right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86" w:type="dxa"/>
            <w:vMerge w:val="restart"/>
            <w:tcBorders>
              <w:top w:val="nil"/>
              <w:bottom w:val="nil"/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rFonts w:hint="default"/>
                <w:sz w:val="20"/>
                <w:szCs w:val="20"/>
                <w:lang w:val="en-US"/>
              </w:rPr>
              <w:t>11</w:t>
            </w:r>
          </w:p>
        </w:tc>
        <w:tc>
          <w:tcPr>
            <w:tcW w:w="5962" w:type="dxa"/>
          </w:tcPr>
          <w:p>
            <w:pPr>
              <w:pStyle w:val="14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i/>
                <w:sz w:val="24"/>
                <w:lang w:val="fr-FR"/>
              </w:rPr>
              <w:t>La situation géographique de la Fran</w:t>
            </w:r>
            <w:r>
              <w:rPr>
                <w:rFonts w:hint="default"/>
                <w:i/>
                <w:sz w:val="24"/>
                <w:lang w:val="fr-FR"/>
              </w:rPr>
              <w:t>ce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Donner son opinion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right w:val="single" w:color="auto" w:sz="4" w:space="0"/>
            </w:tcBorders>
          </w:tcPr>
          <w:p>
            <w:pPr>
              <w:rPr>
                <w:sz w:val="20"/>
                <w:szCs w:val="20"/>
                <w:lang w:val="en-US"/>
              </w:rPr>
            </w:pPr>
          </w:p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2086" w:type="dxa"/>
            <w:vMerge w:val="continue"/>
            <w:tcBorders>
              <w:top w:val="nil"/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161" w:type="dxa"/>
          </w:tcPr>
          <w:p>
            <w:pPr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>2</w:t>
            </w:r>
          </w:p>
        </w:tc>
        <w:tc>
          <w:tcPr>
            <w:tcW w:w="5962" w:type="dxa"/>
          </w:tcPr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i/>
                <w:sz w:val="24"/>
                <w:lang w:val="fr-FR"/>
              </w:rPr>
              <w:t>L`économie de la France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1. Le mouvement</w:t>
            </w:r>
            <w:r>
              <w:rPr>
                <w:rFonts w:hint="default"/>
                <w:sz w:val="20"/>
                <w:szCs w:val="20"/>
                <w:lang w:val="ru-RU"/>
              </w:rPr>
              <w:t xml:space="preserve">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СРО3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937" w:type="dxa"/>
            <w:tcBorders>
              <w:right w:val="single" w:color="auto" w:sz="4" w:space="0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2086" w:type="dxa"/>
            <w:vMerge w:val="continue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1161" w:type="dxa"/>
          </w:tcPr>
          <w:p>
            <w:pPr>
              <w:ind w:left="900" w:hanging="900" w:hangingChars="450"/>
              <w:jc w:val="both"/>
              <w:rPr>
                <w:rFonts w:hint="default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rFonts w:hint="default"/>
                <w:sz w:val="20"/>
                <w:szCs w:val="20"/>
                <w:lang w:val="en-US"/>
              </w:rPr>
              <w:t xml:space="preserve">3                   </w:t>
            </w:r>
          </w:p>
        </w:tc>
        <w:tc>
          <w:tcPr>
            <w:tcW w:w="5962" w:type="dxa"/>
          </w:tcPr>
          <w:p>
            <w:pPr>
              <w:pStyle w:val="14"/>
              <w:ind w:left="-10"/>
              <w:rPr>
                <w:rFonts w:hint="default"/>
                <w:sz w:val="20"/>
                <w:szCs w:val="20"/>
                <w:lang w:val="ru-RU"/>
              </w:rPr>
            </w:pPr>
            <w:r>
              <w:rPr>
                <w:i/>
                <w:sz w:val="24"/>
                <w:lang w:val="fr-FR"/>
              </w:rPr>
              <w:t>La vie politique de la Fran</w:t>
            </w:r>
            <w:r>
              <w:rPr>
                <w:rFonts w:hint="default"/>
                <w:i/>
                <w:sz w:val="24"/>
                <w:lang w:val="en-US"/>
              </w:rPr>
              <w:t>ce</w:t>
            </w:r>
          </w:p>
          <w:p>
            <w:pPr>
              <w:jc w:val="both"/>
              <w:rPr>
                <w:sz w:val="20"/>
                <w:szCs w:val="20"/>
                <w:lang w:val="fr-FR"/>
              </w:rPr>
            </w:pPr>
          </w:p>
          <w:p>
            <w:pPr>
              <w:ind w:left="1800" w:hanging="1800" w:hangingChars="900"/>
              <w:jc w:val="both"/>
              <w:rPr>
                <w:sz w:val="20"/>
                <w:szCs w:val="20"/>
                <w:lang w:val="fr-FR"/>
              </w:rPr>
            </w:pPr>
            <w:r>
              <w:rPr>
                <w:rFonts w:hint="default"/>
                <w:sz w:val="20"/>
                <w:szCs w:val="20"/>
                <w:lang w:val="ru-RU"/>
              </w:rPr>
              <w:t xml:space="preserve">                                                                             </w:t>
            </w:r>
            <w:r>
              <w:rPr>
                <w:rFonts w:hint="default"/>
                <w:b/>
                <w:bCs/>
                <w:sz w:val="20"/>
                <w:szCs w:val="20"/>
                <w:lang w:val="ru-RU"/>
              </w:rPr>
              <w:t>СРОП.Консультация по СРО4</w:t>
            </w:r>
          </w:p>
        </w:tc>
        <w:tc>
          <w:tcPr>
            <w:tcW w:w="1981" w:type="dxa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3937" w:type="dxa"/>
          </w:tcPr>
          <w:p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3</w:t>
            </w:r>
          </w:p>
          <w:p>
            <w:pPr>
              <w:rPr>
                <w:sz w:val="20"/>
                <w:szCs w:val="20"/>
                <w:lang w:val="de-DE"/>
              </w:rPr>
            </w:pPr>
          </w:p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  <w:tc>
          <w:tcPr>
            <w:tcW w:w="2086" w:type="dxa"/>
            <w:vMerge w:val="continue"/>
            <w:tcBorders>
              <w:right w:val="nil"/>
            </w:tcBorders>
          </w:tcPr>
          <w:p>
            <w:pPr>
              <w:jc w:val="both"/>
              <w:rPr>
                <w:sz w:val="20"/>
                <w:szCs w:val="20"/>
                <w:lang w:val="de-DE"/>
              </w:rPr>
            </w:pPr>
          </w:p>
        </w:tc>
      </w:tr>
    </w:tbl>
    <w:p>
      <w:pPr>
        <w:contextualSpacing/>
        <w:jc w:val="both"/>
        <w:rPr>
          <w:b/>
        </w:rPr>
      </w:pPr>
    </w:p>
    <w:p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fr-FR"/>
        </w:rPr>
      </w:pPr>
    </w:p>
    <w:p>
      <w:pPr>
        <w:rPr>
          <w:sz w:val="20"/>
          <w:szCs w:val="20"/>
          <w:lang w:val="kk-KZ"/>
        </w:rPr>
      </w:pPr>
    </w:p>
    <w:p>
      <w:pPr>
        <w:contextualSpacing/>
        <w:jc w:val="both"/>
        <w:rPr>
          <w:b/>
          <w:i/>
          <w:vertAlign w:val="baseline"/>
          <w:lang w:val="kk-KZ"/>
        </w:rPr>
      </w:pPr>
      <w:r>
        <w:rPr>
          <w:b/>
        </w:rPr>
        <w:t xml:space="preserve">    </w:t>
      </w:r>
    </w:p>
    <w:p>
      <w:pPr>
        <w:contextualSpacing/>
        <w:jc w:val="both"/>
        <w:rPr>
          <w:b/>
          <w:i/>
          <w:lang w:val="kk-KZ"/>
        </w:rPr>
      </w:pPr>
    </w:p>
    <w:p>
      <w:pPr>
        <w:contextualSpacing/>
        <w:jc w:val="both"/>
        <w:rPr>
          <w:b/>
        </w:rPr>
      </w:pPr>
    </w:p>
    <w:p>
      <w:pPr>
        <w:ind w:firstLine="6243" w:firstLineChars="2600"/>
        <w:rPr>
          <w:rFonts w:hint="default"/>
          <w:b/>
          <w:bCs/>
          <w:lang w:val="ru-RU"/>
        </w:rPr>
      </w:pPr>
      <w:r>
        <w:rPr>
          <w:b/>
          <w:lang w:val="ru-RU"/>
        </w:rPr>
        <w:t>Декан</w:t>
      </w:r>
      <w:r>
        <w:rPr>
          <w:rFonts w:hint="default"/>
          <w:b/>
          <w:lang w:val="ru-RU"/>
        </w:rPr>
        <w:t>______Б.У.Джолдасбекова</w:t>
      </w:r>
      <w:r>
        <w:rPr>
          <w:b/>
        </w:rPr>
        <w:tab/>
      </w:r>
      <w:r>
        <w:rPr>
          <w:rFonts w:hint="default"/>
          <w:b/>
          <w:lang w:val="ru-RU"/>
        </w:rPr>
        <w:t xml:space="preserve">     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7886" w:leftChars="2600" w:hanging="11646" w:hangingChars="485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Заведующая кафедрой______М.М.Аймагамбетова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firstLine="6243" w:firstLineChars="2600"/>
        <w:rPr>
          <w:rFonts w:hint="default"/>
          <w:b/>
          <w:bCs/>
          <w:lang w:val="ru-RU"/>
        </w:rPr>
      </w:pPr>
      <w:r>
        <w:rPr>
          <w:rFonts w:hint="default"/>
          <w:b/>
          <w:bCs/>
          <w:lang w:val="ru-RU"/>
        </w:rPr>
        <w:t>Лектор_____Ш.М.Макатаева</w:t>
      </w: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ru-RU"/>
        </w:rPr>
      </w:pPr>
    </w:p>
    <w:p>
      <w:pPr>
        <w:ind w:left="14767" w:hanging="14767" w:hangingChars="6150"/>
        <w:rPr>
          <w:rFonts w:hint="default"/>
          <w:b/>
          <w:bCs/>
          <w:lang w:val="en-US"/>
        </w:rPr>
      </w:pPr>
    </w:p>
    <w:sectPr>
      <w:footerReference r:id="rId3" w:type="default"/>
      <w:pgSz w:w="16838" w:h="11906" w:orient="landscape"/>
      <w:pgMar w:top="850" w:right="1418" w:bottom="1701" w:left="568" w:header="708" w:footer="708" w:gutter="0"/>
      <w:pgNumType w:fmt="decimal" w:start="1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widowControl/>
      <w:autoSpaceDE/>
      <w:autoSpaceDN/>
      <w:jc w:val="both"/>
    </w:pPr>
    <w:r>
      <w:rPr>
        <w:rFonts w:hint="default"/>
        <w:b/>
        <w:bCs/>
        <w:lang w:val="en-US"/>
      </w:rPr>
      <w:t xml:space="preserve">                                        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93162"/>
    <w:multiLevelType w:val="singleLevel"/>
    <w:tmpl w:val="2299316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BA05DFD"/>
    <w:multiLevelType w:val="multilevel"/>
    <w:tmpl w:val="5BA05DFD"/>
    <w:lvl w:ilvl="0" w:tentative="0">
      <w:start w:val="1"/>
      <w:numFmt w:val="decimal"/>
      <w:lvlText w:val="%1."/>
      <w:lvlJc w:val="left"/>
      <w:pPr>
        <w:ind w:left="847" w:hanging="360"/>
      </w:pPr>
    </w:lvl>
    <w:lvl w:ilvl="1" w:tentative="0">
      <w:start w:val="1"/>
      <w:numFmt w:val="lowerLetter"/>
      <w:lvlText w:val="%2."/>
      <w:lvlJc w:val="left"/>
      <w:pPr>
        <w:ind w:left="1646" w:hanging="360"/>
      </w:pPr>
    </w:lvl>
    <w:lvl w:ilvl="2" w:tentative="0">
      <w:start w:val="1"/>
      <w:numFmt w:val="lowerRoman"/>
      <w:lvlText w:val="%3."/>
      <w:lvlJc w:val="right"/>
      <w:pPr>
        <w:ind w:left="2366" w:hanging="180"/>
      </w:pPr>
    </w:lvl>
    <w:lvl w:ilvl="3" w:tentative="0">
      <w:start w:val="1"/>
      <w:numFmt w:val="decimal"/>
      <w:lvlText w:val="%4."/>
      <w:lvlJc w:val="left"/>
      <w:pPr>
        <w:ind w:left="3086" w:hanging="360"/>
      </w:pPr>
    </w:lvl>
    <w:lvl w:ilvl="4" w:tentative="0">
      <w:start w:val="1"/>
      <w:numFmt w:val="lowerLetter"/>
      <w:lvlText w:val="%5."/>
      <w:lvlJc w:val="left"/>
      <w:pPr>
        <w:ind w:left="3806" w:hanging="360"/>
      </w:pPr>
    </w:lvl>
    <w:lvl w:ilvl="5" w:tentative="0">
      <w:start w:val="1"/>
      <w:numFmt w:val="lowerRoman"/>
      <w:lvlText w:val="%6."/>
      <w:lvlJc w:val="right"/>
      <w:pPr>
        <w:ind w:left="4526" w:hanging="180"/>
      </w:pPr>
    </w:lvl>
    <w:lvl w:ilvl="6" w:tentative="0">
      <w:start w:val="1"/>
      <w:numFmt w:val="decimal"/>
      <w:lvlText w:val="%7."/>
      <w:lvlJc w:val="left"/>
      <w:pPr>
        <w:ind w:left="5246" w:hanging="360"/>
      </w:pPr>
    </w:lvl>
    <w:lvl w:ilvl="7" w:tentative="0">
      <w:start w:val="1"/>
      <w:numFmt w:val="lowerLetter"/>
      <w:lvlText w:val="%8."/>
      <w:lvlJc w:val="left"/>
      <w:pPr>
        <w:ind w:left="5966" w:hanging="360"/>
      </w:pPr>
    </w:lvl>
    <w:lvl w:ilvl="8" w:tentative="0">
      <w:start w:val="1"/>
      <w:numFmt w:val="lowerRoman"/>
      <w:lvlText w:val="%9."/>
      <w:lvlJc w:val="right"/>
      <w:pPr>
        <w:ind w:left="668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7B3E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61793"/>
    <w:rsid w:val="00261901"/>
    <w:rsid w:val="00263470"/>
    <w:rsid w:val="00265195"/>
    <w:rsid w:val="002668F7"/>
    <w:rsid w:val="00267229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28AC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11121"/>
    <w:rsid w:val="003126D5"/>
    <w:rsid w:val="00323280"/>
    <w:rsid w:val="00323908"/>
    <w:rsid w:val="00330851"/>
    <w:rsid w:val="00334A17"/>
    <w:rsid w:val="00337B25"/>
    <w:rsid w:val="0034309A"/>
    <w:rsid w:val="003603E4"/>
    <w:rsid w:val="00361A10"/>
    <w:rsid w:val="003635F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962E9"/>
    <w:rsid w:val="003A4E0C"/>
    <w:rsid w:val="003A64E4"/>
    <w:rsid w:val="003B4589"/>
    <w:rsid w:val="003B57C0"/>
    <w:rsid w:val="003B65F5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E7FA2"/>
    <w:rsid w:val="004F291E"/>
    <w:rsid w:val="004F3CB8"/>
    <w:rsid w:val="004F55A8"/>
    <w:rsid w:val="004F5EF4"/>
    <w:rsid w:val="004F7692"/>
    <w:rsid w:val="00501106"/>
    <w:rsid w:val="00501B29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442"/>
    <w:rsid w:val="00720B12"/>
    <w:rsid w:val="00720F68"/>
    <w:rsid w:val="00723DFF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4D39"/>
    <w:rsid w:val="0084687B"/>
    <w:rsid w:val="00852424"/>
    <w:rsid w:val="00852FCB"/>
    <w:rsid w:val="00854136"/>
    <w:rsid w:val="008642A4"/>
    <w:rsid w:val="008677A1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3A42"/>
    <w:rsid w:val="00923E03"/>
    <w:rsid w:val="0092481B"/>
    <w:rsid w:val="00925896"/>
    <w:rsid w:val="00925A0F"/>
    <w:rsid w:val="00926A96"/>
    <w:rsid w:val="009349EE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71713"/>
    <w:rsid w:val="0097441F"/>
    <w:rsid w:val="009746F5"/>
    <w:rsid w:val="00977EC4"/>
    <w:rsid w:val="00986A7D"/>
    <w:rsid w:val="009930CB"/>
    <w:rsid w:val="0099766F"/>
    <w:rsid w:val="009A44E4"/>
    <w:rsid w:val="009B6838"/>
    <w:rsid w:val="009B7F2B"/>
    <w:rsid w:val="009C0E8D"/>
    <w:rsid w:val="009C1790"/>
    <w:rsid w:val="009C29E7"/>
    <w:rsid w:val="009E2A95"/>
    <w:rsid w:val="009E52CB"/>
    <w:rsid w:val="009E6ECA"/>
    <w:rsid w:val="009E72A8"/>
    <w:rsid w:val="009F42A4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D07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B19"/>
    <w:rsid w:val="00AF327F"/>
    <w:rsid w:val="00AF3F8F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A62FC"/>
    <w:rsid w:val="00BB1114"/>
    <w:rsid w:val="00BB32DC"/>
    <w:rsid w:val="00BB6584"/>
    <w:rsid w:val="00BC4476"/>
    <w:rsid w:val="00BD09CB"/>
    <w:rsid w:val="00BD6DA7"/>
    <w:rsid w:val="00BE20D8"/>
    <w:rsid w:val="00BE3F4E"/>
    <w:rsid w:val="00BF4583"/>
    <w:rsid w:val="00C002F1"/>
    <w:rsid w:val="00C037E1"/>
    <w:rsid w:val="00C03EF1"/>
    <w:rsid w:val="00C055D3"/>
    <w:rsid w:val="00C119D6"/>
    <w:rsid w:val="00C13132"/>
    <w:rsid w:val="00C21EA1"/>
    <w:rsid w:val="00C25D1C"/>
    <w:rsid w:val="00C323E6"/>
    <w:rsid w:val="00C41C08"/>
    <w:rsid w:val="00C46CAD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911"/>
    <w:rsid w:val="00CC483F"/>
    <w:rsid w:val="00CC59D8"/>
    <w:rsid w:val="00CD7587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534C1"/>
    <w:rsid w:val="00D6269D"/>
    <w:rsid w:val="00D62CCA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710F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1410"/>
    <w:rsid w:val="00E526F4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5722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50C75"/>
    <w:rsid w:val="00F530A0"/>
    <w:rsid w:val="00F5360E"/>
    <w:rsid w:val="00F553C1"/>
    <w:rsid w:val="00F56189"/>
    <w:rsid w:val="00F6159D"/>
    <w:rsid w:val="00F65683"/>
    <w:rsid w:val="00F71859"/>
    <w:rsid w:val="00F76949"/>
    <w:rsid w:val="00F80213"/>
    <w:rsid w:val="00F8439E"/>
    <w:rsid w:val="00F84930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03F259B1"/>
    <w:rsid w:val="05971990"/>
    <w:rsid w:val="08A45159"/>
    <w:rsid w:val="14FA27D9"/>
    <w:rsid w:val="185042DF"/>
    <w:rsid w:val="270E4B8B"/>
    <w:rsid w:val="280E640F"/>
    <w:rsid w:val="2AEB2CE2"/>
    <w:rsid w:val="2CE5D884"/>
    <w:rsid w:val="2E2DA889"/>
    <w:rsid w:val="33E32E64"/>
    <w:rsid w:val="36C309FF"/>
    <w:rsid w:val="3C3D0F13"/>
    <w:rsid w:val="3C5D747E"/>
    <w:rsid w:val="416217D9"/>
    <w:rsid w:val="56E9367D"/>
    <w:rsid w:val="594D7AEF"/>
    <w:rsid w:val="5BA66E7F"/>
    <w:rsid w:val="68D17954"/>
    <w:rsid w:val="70682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outlineLvl w:val="3"/>
    </w:pPr>
    <w:rPr>
      <w:b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99"/>
    <w:rPr>
      <w:rFonts w:cs="Times New Roman"/>
      <w:color w:val="auto"/>
      <w:u w:val="none"/>
    </w:rPr>
  </w:style>
  <w:style w:type="character" w:styleId="11">
    <w:name w:val="Strong"/>
    <w:qFormat/>
    <w:uiPriority w:val="0"/>
    <w:rPr>
      <w:b/>
      <w:bCs/>
    </w:rPr>
  </w:style>
  <w:style w:type="paragraph" w:styleId="12">
    <w:name w:val="Balloon Text"/>
    <w:basedOn w:val="1"/>
    <w:link w:val="38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677"/>
        <w:tab w:val="right" w:pos="9355"/>
      </w:tabs>
    </w:pPr>
  </w:style>
  <w:style w:type="paragraph" w:styleId="14">
    <w:name w:val="Body Text"/>
    <w:basedOn w:val="1"/>
    <w:qFormat/>
    <w:uiPriority w:val="1"/>
    <w:pPr>
      <w:widowControl w:val="0"/>
      <w:autoSpaceDE w:val="0"/>
      <w:autoSpaceDN w:val="0"/>
    </w:pPr>
    <w:rPr>
      <w:sz w:val="28"/>
      <w:szCs w:val="28"/>
      <w:lang w:bidi="ru-RU"/>
    </w:rPr>
  </w:style>
  <w:style w:type="paragraph" w:styleId="15">
    <w:name w:val="Title"/>
    <w:basedOn w:val="1"/>
    <w:next w:val="1"/>
    <w:qFormat/>
    <w:uiPriority w:val="0"/>
    <w:pPr>
      <w:keepNext/>
      <w:keepLines/>
      <w:spacing w:before="480" w:after="120"/>
    </w:pPr>
    <w:rPr>
      <w:b/>
      <w:sz w:val="72"/>
      <w:szCs w:val="72"/>
    </w:rPr>
  </w:style>
  <w:style w:type="paragraph" w:styleId="16">
    <w:name w:val="footer"/>
    <w:basedOn w:val="1"/>
    <w:link w:val="40"/>
    <w:unhideWhenUsed/>
    <w:qFormat/>
    <w:uiPriority w:val="99"/>
    <w:pPr>
      <w:tabs>
        <w:tab w:val="center" w:pos="4677"/>
        <w:tab w:val="right" w:pos="9355"/>
      </w:tabs>
    </w:pPr>
  </w:style>
  <w:style w:type="paragraph" w:styleId="1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lang w:eastAsia="ru-RU"/>
    </w:rPr>
  </w:style>
  <w:style w:type="paragraph" w:styleId="18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19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paragraph"/>
    <w:basedOn w:val="1"/>
    <w:qFormat/>
    <w:uiPriority w:val="0"/>
    <w:pPr>
      <w:spacing w:before="100" w:beforeAutospacing="1" w:after="100" w:afterAutospacing="1"/>
    </w:pPr>
    <w:rPr>
      <w:lang w:eastAsia="ru-RU"/>
    </w:rPr>
  </w:style>
  <w:style w:type="table" w:customStyle="1" w:styleId="21">
    <w:name w:val="_Style 1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2">
    <w:name w:val="_Style 1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3">
    <w:name w:val="_Style 1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4">
    <w:name w:val="_Style 1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5">
    <w:name w:val="_Style 1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6">
    <w:name w:val="_Style 17"/>
    <w:basedOn w:val="9"/>
    <w:qFormat/>
    <w:uiPriority w:val="0"/>
    <w:rPr>
      <w:sz w:val="20"/>
      <w:szCs w:val="20"/>
    </w:rPr>
  </w:style>
  <w:style w:type="table" w:customStyle="1" w:styleId="27">
    <w:name w:val="_Style 18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8">
    <w:name w:val="_Style 19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29">
    <w:name w:val="_Style 20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0">
    <w:name w:val="_Style 21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1">
    <w:name w:val="_Style 22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2">
    <w:name w:val="_Style 23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3">
    <w:name w:val="_Style 24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4">
    <w:name w:val="_Style 25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5">
    <w:name w:val="_Style 26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6">
    <w:name w:val="_Style 27"/>
    <w:basedOn w:val="9"/>
    <w:qFormat/>
    <w:uiPriority w:val="0"/>
    <w:tblPr>
      <w:tblCellMar>
        <w:left w:w="115" w:type="dxa"/>
        <w:right w:w="115" w:type="dxa"/>
      </w:tblCellMar>
    </w:tblPr>
  </w:style>
  <w:style w:type="table" w:customStyle="1" w:styleId="37">
    <w:name w:val="_Style 28"/>
    <w:basedOn w:val="9"/>
    <w:qFormat/>
    <w:uiPriority w:val="0"/>
    <w:tblPr>
      <w:tblCellMar>
        <w:left w:w="115" w:type="dxa"/>
        <w:right w:w="115" w:type="dxa"/>
      </w:tblCellMar>
    </w:tblPr>
  </w:style>
  <w:style w:type="character" w:customStyle="1" w:styleId="38">
    <w:name w:val="Текст выноски Знак"/>
    <w:basedOn w:val="8"/>
    <w:link w:val="12"/>
    <w:semiHidden/>
    <w:qFormat/>
    <w:uiPriority w:val="99"/>
    <w:rPr>
      <w:rFonts w:ascii="Segoe UI" w:hAnsi="Segoe UI" w:cs="Segoe UI"/>
      <w:sz w:val="18"/>
      <w:szCs w:val="18"/>
    </w:rPr>
  </w:style>
  <w:style w:type="character" w:customStyle="1" w:styleId="39">
    <w:name w:val="Верхний колонтитул Знак"/>
    <w:basedOn w:val="8"/>
    <w:link w:val="13"/>
    <w:qFormat/>
    <w:uiPriority w:val="99"/>
  </w:style>
  <w:style w:type="character" w:customStyle="1" w:styleId="40">
    <w:name w:val="Нижний колонтитул Знак"/>
    <w:basedOn w:val="8"/>
    <w:link w:val="16"/>
    <w:qFormat/>
    <w:uiPriority w:val="99"/>
  </w:style>
  <w:style w:type="paragraph" w:styleId="41">
    <w:name w:val="List Paragraph"/>
    <w:basedOn w:val="1"/>
    <w:link w:val="42"/>
    <w:qFormat/>
    <w:uiPriority w:val="34"/>
    <w:pPr>
      <w:ind w:left="720"/>
      <w:contextualSpacing/>
    </w:pPr>
  </w:style>
  <w:style w:type="character" w:customStyle="1" w:styleId="42">
    <w:name w:val="Абзац списка Знак"/>
    <w:link w:val="41"/>
    <w:qFormat/>
    <w:locked/>
    <w:uiPriority w:val="34"/>
  </w:style>
  <w:style w:type="character" w:customStyle="1" w:styleId="43">
    <w:name w:val="contentcontrolboundarysink"/>
    <w:basedOn w:val="8"/>
    <w:qFormat/>
    <w:uiPriority w:val="0"/>
  </w:style>
  <w:style w:type="character" w:customStyle="1" w:styleId="44">
    <w:name w:val="normaltextrun"/>
    <w:basedOn w:val="8"/>
    <w:qFormat/>
    <w:uiPriority w:val="0"/>
  </w:style>
  <w:style w:type="character" w:customStyle="1" w:styleId="45">
    <w:name w:val="eop"/>
    <w:basedOn w:val="8"/>
    <w:qFormat/>
    <w:uiPriority w:val="0"/>
  </w:style>
  <w:style w:type="table" w:customStyle="1" w:styleId="46">
    <w:name w:val="Table Normal1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Paragraph"/>
    <w:basedOn w:val="1"/>
    <w:qFormat/>
    <w:uiPriority w:val="1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8E2E28-4375-412A-B1C4-C8C1EF9D2578}">
  <ds:schemaRefs/>
</ds:datastoreItem>
</file>

<file path=customXml/itemProps2.xml><?xml version="1.0" encoding="utf-8"?>
<ds:datastoreItem xmlns:ds="http://schemas.openxmlformats.org/officeDocument/2006/customXml" ds:itemID="{0B8365E6-5F13-467B-842E-9BE5178AD20C}">
  <ds:schemaRefs/>
</ds:datastoreItem>
</file>

<file path=customXml/itemProps3.xml><?xml version="1.0" encoding="utf-8"?>
<ds:datastoreItem xmlns:ds="http://schemas.openxmlformats.org/officeDocument/2006/customXml" ds:itemID="{65585658-F44C-45A0-8AD2-CF666805F4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2724</Words>
  <Characters>15531</Characters>
  <Lines>129</Lines>
  <Paragraphs>36</Paragraphs>
  <TotalTime>12</TotalTime>
  <ScaleCrop>false</ScaleCrop>
  <LinksUpToDate>false</LinksUpToDate>
  <CharactersWithSpaces>18219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2022-06-22T05:26:00Z</dcterms:created>
  <dc:creator>Амирбекова Гулмира</dc:creator>
  <cp:lastModifiedBy>Admin</cp:lastModifiedBy>
  <cp:lastPrinted>2023-06-26T06:38:00Z</cp:lastPrinted>
  <dcterms:modified xsi:type="dcterms:W3CDTF">2023-08-22T17:12:33Z</dcterms:modified>
  <cp:revision>603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  <property fmtid="{D5CDD505-2E9C-101B-9397-08002B2CF9AE}" pid="4" name="KSOProductBuildVer">
    <vt:lpwstr>1049-11.2.0.11537</vt:lpwstr>
  </property>
  <property fmtid="{D5CDD505-2E9C-101B-9397-08002B2CF9AE}" pid="5" name="ICV">
    <vt:lpwstr>FE0B467310074A03BD5EE14BE0566690</vt:lpwstr>
  </property>
</Properties>
</file>